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9C360" w14:textId="05CF3658" w:rsidR="00F11C42" w:rsidRDefault="00994924" w:rsidP="00CF1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Civilian to Military Conversions</w:t>
      </w:r>
    </w:p>
    <w:p w14:paraId="5F59C361" w14:textId="77777777" w:rsidR="00CF1B77" w:rsidRPr="00F11C42" w:rsidRDefault="00C74DE1" w:rsidP="00CF1B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Summary of </w:t>
      </w:r>
      <w:r w:rsidR="00032567" w:rsidRPr="00F11C42">
        <w:rPr>
          <w:b/>
          <w:sz w:val="28"/>
          <w:szCs w:val="28"/>
          <w:u w:val="single"/>
        </w:rPr>
        <w:t xml:space="preserve">Federal Law and </w:t>
      </w:r>
      <w:r w:rsidR="00F167DF" w:rsidRPr="00F11C42">
        <w:rPr>
          <w:b/>
          <w:sz w:val="28"/>
          <w:szCs w:val="28"/>
          <w:u w:val="single"/>
        </w:rPr>
        <w:t>DoD Guidance</w:t>
      </w:r>
    </w:p>
    <w:p w14:paraId="1F420431" w14:textId="77777777" w:rsidR="00AC01BD" w:rsidRDefault="00AC01BD" w:rsidP="00F51DAF">
      <w:pPr>
        <w:pStyle w:val="Heading3"/>
        <w:spacing w:before="150"/>
        <w:ind w:left="-240" w:firstLine="0"/>
        <w:jc w:val="left"/>
        <w:rPr>
          <w:rFonts w:asciiTheme="minorHAnsi" w:hAnsiTheme="minorHAnsi" w:cs="Arial"/>
          <w:sz w:val="28"/>
          <w:szCs w:val="28"/>
        </w:rPr>
      </w:pPr>
    </w:p>
    <w:p w14:paraId="5F59C362" w14:textId="49F6E1D2" w:rsidR="00F51DAF" w:rsidRPr="00F51DAF" w:rsidRDefault="00F51DAF" w:rsidP="00F51DAF">
      <w:pPr>
        <w:pStyle w:val="Heading3"/>
        <w:spacing w:before="150"/>
        <w:ind w:left="-240" w:firstLine="0"/>
        <w:jc w:val="left"/>
        <w:rPr>
          <w:rFonts w:asciiTheme="minorHAnsi" w:hAnsiTheme="minorHAnsi" w:cs="Arial"/>
          <w:sz w:val="28"/>
          <w:szCs w:val="28"/>
        </w:rPr>
      </w:pPr>
      <w:r w:rsidRPr="00F51DAF">
        <w:rPr>
          <w:rFonts w:asciiTheme="minorHAnsi" w:hAnsiTheme="minorHAnsi" w:cs="Arial"/>
          <w:sz w:val="28"/>
          <w:szCs w:val="28"/>
        </w:rPr>
        <w:t>Quick Summary</w:t>
      </w:r>
    </w:p>
    <w:p w14:paraId="1CC1CF09" w14:textId="3B681645" w:rsidR="00873B04" w:rsidRDefault="00F51DAF" w:rsidP="00945F9E">
      <w:pPr>
        <w:pStyle w:val="Heading3"/>
        <w:numPr>
          <w:ilvl w:val="0"/>
          <w:numId w:val="8"/>
        </w:numPr>
        <w:spacing w:before="150"/>
        <w:jc w:val="left"/>
        <w:rPr>
          <w:rFonts w:asciiTheme="minorHAnsi" w:hAnsiTheme="minorHAnsi" w:cs="Arial"/>
          <w:b w:val="0"/>
          <w:sz w:val="24"/>
          <w:szCs w:val="24"/>
        </w:rPr>
      </w:pPr>
      <w:r w:rsidRPr="00F51DAF">
        <w:rPr>
          <w:rFonts w:asciiTheme="minorHAnsi" w:hAnsiTheme="minorHAnsi" w:cs="Arial"/>
          <w:b w:val="0"/>
          <w:sz w:val="24"/>
          <w:szCs w:val="24"/>
        </w:rPr>
        <w:t xml:space="preserve">DoD </w:t>
      </w:r>
      <w:r w:rsidR="00873B04">
        <w:rPr>
          <w:rFonts w:asciiTheme="minorHAnsi" w:hAnsiTheme="minorHAnsi" w:cs="Arial"/>
          <w:b w:val="0"/>
          <w:sz w:val="24"/>
          <w:szCs w:val="24"/>
        </w:rPr>
        <w:t xml:space="preserve">must </w:t>
      </w:r>
      <w:r w:rsidRPr="00F51DAF">
        <w:rPr>
          <w:rFonts w:asciiTheme="minorHAnsi" w:hAnsiTheme="minorHAnsi" w:cs="Arial"/>
          <w:b w:val="0"/>
          <w:sz w:val="24"/>
          <w:szCs w:val="24"/>
        </w:rPr>
        <w:t>manage civilian employees based on workload requirements, not personnel ceilings</w:t>
      </w:r>
      <w:r w:rsidR="00873B04">
        <w:rPr>
          <w:rFonts w:asciiTheme="minorHAnsi" w:hAnsiTheme="minorHAnsi" w:cs="Arial"/>
          <w:b w:val="0"/>
          <w:sz w:val="24"/>
          <w:szCs w:val="24"/>
        </w:rPr>
        <w:t>.</w:t>
      </w:r>
    </w:p>
    <w:p w14:paraId="5A7BD3D4" w14:textId="141A2BE1" w:rsidR="00873B04" w:rsidRDefault="00873B04" w:rsidP="00945F9E">
      <w:pPr>
        <w:pStyle w:val="Heading3"/>
        <w:numPr>
          <w:ilvl w:val="0"/>
          <w:numId w:val="8"/>
        </w:numPr>
        <w:spacing w:before="150"/>
        <w:jc w:val="left"/>
        <w:rPr>
          <w:rFonts w:asciiTheme="minorHAnsi" w:hAnsiTheme="minorHAnsi" w:cs="Arial"/>
          <w:b w:val="0"/>
          <w:sz w:val="24"/>
          <w:szCs w:val="24"/>
        </w:rPr>
      </w:pPr>
      <w:r w:rsidRPr="00945F9E">
        <w:rPr>
          <w:rFonts w:asciiTheme="minorHAnsi" w:hAnsiTheme="minorHAnsi" w:cs="Arial"/>
          <w:b w:val="0"/>
          <w:sz w:val="24"/>
          <w:szCs w:val="24"/>
        </w:rPr>
        <w:t>DoD must e</w:t>
      </w:r>
      <w:r w:rsidR="00B04729" w:rsidRPr="00945F9E">
        <w:rPr>
          <w:rFonts w:asciiTheme="minorHAnsi" w:hAnsiTheme="minorHAnsi" w:cs="Arial"/>
          <w:b w:val="0"/>
          <w:sz w:val="24"/>
          <w:szCs w:val="24"/>
        </w:rPr>
        <w:t>stablish policies that</w:t>
      </w:r>
      <w:r w:rsidR="00F51DAF" w:rsidRPr="00945F9E">
        <w:rPr>
          <w:rFonts w:asciiTheme="minorHAnsi" w:hAnsiTheme="minorHAnsi" w:cs="Arial"/>
          <w:b w:val="0"/>
          <w:sz w:val="24"/>
          <w:szCs w:val="24"/>
        </w:rPr>
        <w:t xml:space="preserve"> ensure that the workforce mix (military, civilian, and contractor) is based on cost and risk mitigation.  </w:t>
      </w:r>
    </w:p>
    <w:p w14:paraId="5F59C363" w14:textId="4E2947C2" w:rsidR="00F51DAF" w:rsidRDefault="00F51DAF" w:rsidP="00945F9E">
      <w:pPr>
        <w:pStyle w:val="Heading3"/>
        <w:numPr>
          <w:ilvl w:val="0"/>
          <w:numId w:val="8"/>
        </w:numPr>
        <w:spacing w:before="150"/>
        <w:jc w:val="left"/>
        <w:rPr>
          <w:rFonts w:asciiTheme="minorHAnsi" w:hAnsiTheme="minorHAnsi" w:cs="Arial"/>
          <w:b w:val="0"/>
          <w:sz w:val="24"/>
          <w:szCs w:val="24"/>
        </w:rPr>
      </w:pPr>
      <w:r w:rsidRPr="00945F9E">
        <w:rPr>
          <w:rFonts w:asciiTheme="minorHAnsi" w:hAnsiTheme="minorHAnsi" w:cs="Arial"/>
          <w:b w:val="0"/>
          <w:sz w:val="24"/>
          <w:szCs w:val="24"/>
        </w:rPr>
        <w:t xml:space="preserve">DoD </w:t>
      </w:r>
      <w:r w:rsidR="00873B04" w:rsidRPr="00945F9E">
        <w:rPr>
          <w:rFonts w:asciiTheme="minorHAnsi" w:hAnsiTheme="minorHAnsi" w:cs="Arial"/>
          <w:b w:val="0"/>
          <w:sz w:val="24"/>
          <w:szCs w:val="24"/>
        </w:rPr>
        <w:t xml:space="preserve">must </w:t>
      </w:r>
      <w:r w:rsidRPr="00945F9E">
        <w:rPr>
          <w:rFonts w:asciiTheme="minorHAnsi" w:hAnsiTheme="minorHAnsi" w:cs="Arial"/>
          <w:b w:val="0"/>
          <w:sz w:val="24"/>
          <w:szCs w:val="24"/>
        </w:rPr>
        <w:t>calculate th</w:t>
      </w:r>
      <w:r w:rsidR="00873B04" w:rsidRPr="00945F9E">
        <w:rPr>
          <w:rFonts w:asciiTheme="minorHAnsi" w:hAnsiTheme="minorHAnsi" w:cs="Arial"/>
          <w:b w:val="0"/>
          <w:sz w:val="24"/>
          <w:szCs w:val="24"/>
        </w:rPr>
        <w:t xml:space="preserve">e fully burdened cost of using military personnel </w:t>
      </w:r>
      <w:r w:rsidR="00945F9E">
        <w:rPr>
          <w:rFonts w:asciiTheme="minorHAnsi" w:hAnsiTheme="minorHAnsi" w:cs="Arial"/>
          <w:b w:val="0"/>
          <w:sz w:val="24"/>
          <w:szCs w:val="24"/>
        </w:rPr>
        <w:t>vs. c</w:t>
      </w:r>
      <w:r w:rsidR="00873B04" w:rsidRPr="00945F9E">
        <w:rPr>
          <w:rFonts w:asciiTheme="minorHAnsi" w:hAnsiTheme="minorHAnsi" w:cs="Arial"/>
          <w:b w:val="0"/>
          <w:sz w:val="24"/>
          <w:szCs w:val="24"/>
        </w:rPr>
        <w:t xml:space="preserve">ivilian employees </w:t>
      </w:r>
      <w:r w:rsidRPr="00945F9E">
        <w:rPr>
          <w:rFonts w:asciiTheme="minorHAnsi" w:hAnsiTheme="minorHAnsi" w:cs="Arial"/>
          <w:b w:val="0"/>
          <w:sz w:val="24"/>
          <w:szCs w:val="24"/>
        </w:rPr>
        <w:t xml:space="preserve">for a </w:t>
      </w:r>
      <w:r w:rsidR="00945F9E">
        <w:rPr>
          <w:rFonts w:asciiTheme="minorHAnsi" w:hAnsiTheme="minorHAnsi" w:cs="Arial"/>
          <w:b w:val="0"/>
          <w:sz w:val="24"/>
          <w:szCs w:val="24"/>
        </w:rPr>
        <w:t xml:space="preserve">specific </w:t>
      </w:r>
      <w:r w:rsidRPr="00945F9E">
        <w:rPr>
          <w:rFonts w:asciiTheme="minorHAnsi" w:hAnsiTheme="minorHAnsi" w:cs="Arial"/>
          <w:b w:val="0"/>
          <w:sz w:val="24"/>
          <w:szCs w:val="24"/>
        </w:rPr>
        <w:t>function</w:t>
      </w:r>
      <w:r w:rsidR="00873B04" w:rsidRPr="00945F9E">
        <w:rPr>
          <w:rFonts w:asciiTheme="minorHAnsi" w:hAnsiTheme="minorHAnsi" w:cs="Arial"/>
          <w:b w:val="0"/>
          <w:sz w:val="24"/>
          <w:szCs w:val="24"/>
        </w:rPr>
        <w:t xml:space="preserve">. </w:t>
      </w:r>
      <w:r w:rsidRPr="00945F9E">
        <w:rPr>
          <w:rFonts w:asciiTheme="minorHAnsi" w:hAnsiTheme="minorHAnsi" w:cs="Arial"/>
          <w:b w:val="0"/>
          <w:sz w:val="24"/>
          <w:szCs w:val="24"/>
        </w:rPr>
        <w:t xml:space="preserve"> </w:t>
      </w:r>
    </w:p>
    <w:p w14:paraId="5F59C364" w14:textId="1FB4273C" w:rsidR="00F51DAF" w:rsidRPr="00945F9E" w:rsidRDefault="00F51DAF" w:rsidP="00945F9E">
      <w:pPr>
        <w:pStyle w:val="Heading3"/>
        <w:numPr>
          <w:ilvl w:val="0"/>
          <w:numId w:val="8"/>
        </w:numPr>
        <w:spacing w:before="150"/>
        <w:jc w:val="left"/>
        <w:rPr>
          <w:rFonts w:asciiTheme="minorHAnsi" w:hAnsiTheme="minorHAnsi" w:cs="Arial"/>
          <w:b w:val="0"/>
          <w:sz w:val="24"/>
          <w:szCs w:val="24"/>
        </w:rPr>
      </w:pPr>
      <w:r w:rsidRPr="00945F9E">
        <w:rPr>
          <w:rFonts w:asciiTheme="minorHAnsi" w:hAnsiTheme="minorHAnsi" w:cs="Arial"/>
          <w:b w:val="0"/>
          <w:sz w:val="24"/>
          <w:szCs w:val="24"/>
        </w:rPr>
        <w:t xml:space="preserve">DoD </w:t>
      </w:r>
      <w:r w:rsidR="00873B04" w:rsidRPr="00945F9E">
        <w:rPr>
          <w:rFonts w:asciiTheme="minorHAnsi" w:hAnsiTheme="minorHAnsi" w:cs="Arial"/>
          <w:b w:val="0"/>
          <w:sz w:val="24"/>
          <w:szCs w:val="24"/>
        </w:rPr>
        <w:t xml:space="preserve">cannot use </w:t>
      </w:r>
      <w:r w:rsidRPr="00945F9E">
        <w:rPr>
          <w:rFonts w:asciiTheme="minorHAnsi" w:hAnsiTheme="minorHAnsi" w:cs="Arial"/>
          <w:b w:val="0"/>
          <w:sz w:val="24"/>
          <w:szCs w:val="24"/>
        </w:rPr>
        <w:t xml:space="preserve">military personnel </w:t>
      </w:r>
      <w:r w:rsidR="00873B04" w:rsidRPr="00945F9E">
        <w:rPr>
          <w:rFonts w:asciiTheme="minorHAnsi" w:hAnsiTheme="minorHAnsi" w:cs="Arial"/>
          <w:b w:val="0"/>
          <w:sz w:val="24"/>
          <w:szCs w:val="24"/>
        </w:rPr>
        <w:t xml:space="preserve">to perform functions that are not </w:t>
      </w:r>
      <w:r w:rsidRPr="00945F9E">
        <w:rPr>
          <w:rFonts w:asciiTheme="minorHAnsi" w:hAnsiTheme="minorHAnsi" w:cs="Arial"/>
          <w:b w:val="0"/>
          <w:sz w:val="24"/>
          <w:szCs w:val="24"/>
        </w:rPr>
        <w:t>“military essential” unless (1) there is a demonstrated and documented need to do so</w:t>
      </w:r>
      <w:r w:rsidR="00945F9E">
        <w:rPr>
          <w:rFonts w:asciiTheme="minorHAnsi" w:hAnsiTheme="minorHAnsi" w:cs="Arial"/>
          <w:b w:val="0"/>
          <w:sz w:val="24"/>
          <w:szCs w:val="24"/>
        </w:rPr>
        <w:t xml:space="preserve">; </w:t>
      </w:r>
      <w:r w:rsidRPr="00945F9E">
        <w:rPr>
          <w:rFonts w:asciiTheme="minorHAnsi" w:hAnsiTheme="minorHAnsi" w:cs="Arial"/>
          <w:b w:val="0"/>
          <w:sz w:val="24"/>
          <w:szCs w:val="24"/>
        </w:rPr>
        <w:t xml:space="preserve">or (2) extraordinary, and typically temporary, circumstances exist.  </w:t>
      </w:r>
    </w:p>
    <w:p w14:paraId="5446CF61" w14:textId="77777777" w:rsidR="00994924" w:rsidRDefault="00994924" w:rsidP="00234A9E">
      <w:pPr>
        <w:pStyle w:val="Heading3"/>
        <w:spacing w:before="150"/>
        <w:ind w:left="-240" w:firstLine="0"/>
        <w:jc w:val="left"/>
        <w:rPr>
          <w:rFonts w:asciiTheme="minorHAnsi" w:hAnsiTheme="minorHAnsi" w:cs="Arial"/>
          <w:sz w:val="28"/>
          <w:szCs w:val="28"/>
        </w:rPr>
      </w:pPr>
    </w:p>
    <w:p w14:paraId="5F59C367" w14:textId="741E94FE" w:rsidR="00F51DAF" w:rsidRPr="006B64B1" w:rsidRDefault="00F51DAF" w:rsidP="00234A9E">
      <w:pPr>
        <w:pStyle w:val="Heading3"/>
        <w:spacing w:before="150"/>
        <w:ind w:left="-240" w:firstLine="0"/>
        <w:jc w:val="left"/>
        <w:rPr>
          <w:rFonts w:asciiTheme="minorHAnsi" w:hAnsiTheme="minorHAnsi" w:cs="Arial"/>
          <w:b w:val="0"/>
          <w:sz w:val="24"/>
          <w:szCs w:val="24"/>
        </w:rPr>
      </w:pPr>
      <w:r w:rsidRPr="00F51DAF">
        <w:rPr>
          <w:rFonts w:asciiTheme="minorHAnsi" w:hAnsiTheme="minorHAnsi" w:cs="Arial"/>
          <w:sz w:val="28"/>
          <w:szCs w:val="28"/>
        </w:rPr>
        <w:t>Detailed Summary</w:t>
      </w:r>
      <w:r w:rsidR="00BE10D5">
        <w:rPr>
          <w:rFonts w:asciiTheme="minorHAnsi" w:hAnsiTheme="minorHAnsi" w:cs="Arial"/>
          <w:sz w:val="28"/>
          <w:szCs w:val="28"/>
        </w:rPr>
        <w:t xml:space="preserve"> </w:t>
      </w:r>
      <w:r w:rsidR="00BE10D5" w:rsidRPr="006B64B1">
        <w:rPr>
          <w:rFonts w:asciiTheme="minorHAnsi" w:hAnsiTheme="minorHAnsi" w:cs="Arial"/>
          <w:b w:val="0"/>
          <w:sz w:val="24"/>
          <w:szCs w:val="24"/>
        </w:rPr>
        <w:t xml:space="preserve">(see </w:t>
      </w:r>
      <w:r w:rsidR="00664F3F" w:rsidRPr="006B64B1">
        <w:rPr>
          <w:rFonts w:asciiTheme="minorHAnsi" w:hAnsiTheme="minorHAnsi" w:cs="Arial"/>
          <w:b w:val="0"/>
          <w:sz w:val="24"/>
          <w:szCs w:val="24"/>
        </w:rPr>
        <w:t>original documents cited</w:t>
      </w:r>
      <w:r w:rsidR="00BE10D5" w:rsidRPr="006B64B1">
        <w:rPr>
          <w:rFonts w:asciiTheme="minorHAnsi" w:hAnsiTheme="minorHAnsi" w:cs="Arial"/>
          <w:b w:val="0"/>
          <w:sz w:val="24"/>
          <w:szCs w:val="24"/>
        </w:rPr>
        <w:t xml:space="preserve"> </w:t>
      </w:r>
      <w:r w:rsidRPr="006B64B1">
        <w:rPr>
          <w:rFonts w:asciiTheme="minorHAnsi" w:hAnsiTheme="minorHAnsi" w:cs="Arial"/>
          <w:b w:val="0"/>
          <w:sz w:val="24"/>
          <w:szCs w:val="24"/>
        </w:rPr>
        <w:t>for exact wording).</w:t>
      </w:r>
    </w:p>
    <w:p w14:paraId="6360D260" w14:textId="77777777" w:rsidR="006B64B1" w:rsidRDefault="006B64B1" w:rsidP="00F51DAF">
      <w:pPr>
        <w:pStyle w:val="Heading3"/>
        <w:spacing w:before="150"/>
        <w:ind w:left="-240" w:firstLine="960"/>
        <w:jc w:val="left"/>
        <w:rPr>
          <w:rFonts w:asciiTheme="minorHAnsi" w:hAnsiTheme="minorHAnsi" w:cs="Arial"/>
          <w:sz w:val="24"/>
          <w:szCs w:val="24"/>
        </w:rPr>
      </w:pPr>
    </w:p>
    <w:p w14:paraId="5F59C368" w14:textId="0198F0F7" w:rsidR="004E4348" w:rsidRPr="00F51DAF" w:rsidRDefault="00B27BA6" w:rsidP="00F51DAF">
      <w:pPr>
        <w:pStyle w:val="Heading3"/>
        <w:spacing w:before="150"/>
        <w:ind w:left="-240" w:firstLine="960"/>
        <w:jc w:val="left"/>
        <w:rPr>
          <w:rFonts w:asciiTheme="minorHAnsi" w:hAnsiTheme="minorHAnsi" w:cs="Arial"/>
          <w:sz w:val="28"/>
          <w:szCs w:val="28"/>
        </w:rPr>
      </w:pPr>
      <w:r w:rsidRPr="006B1F76">
        <w:rPr>
          <w:rFonts w:asciiTheme="minorHAnsi" w:hAnsiTheme="minorHAnsi" w:cs="Arial"/>
          <w:sz w:val="24"/>
          <w:szCs w:val="24"/>
        </w:rPr>
        <w:t xml:space="preserve">10 U.S.C. </w:t>
      </w:r>
      <w:r w:rsidR="004E4348" w:rsidRPr="006B1F76">
        <w:rPr>
          <w:rFonts w:asciiTheme="minorHAnsi" w:hAnsiTheme="minorHAnsi" w:cs="Arial"/>
          <w:sz w:val="24"/>
          <w:szCs w:val="24"/>
        </w:rPr>
        <w:t xml:space="preserve">§129. </w:t>
      </w:r>
      <w:r w:rsidR="00F51DAF">
        <w:rPr>
          <w:rFonts w:asciiTheme="minorHAnsi" w:hAnsiTheme="minorHAnsi" w:cs="Arial"/>
          <w:sz w:val="24"/>
          <w:szCs w:val="24"/>
        </w:rPr>
        <w:t xml:space="preserve">No personnel ceilings. </w:t>
      </w:r>
    </w:p>
    <w:p w14:paraId="5F59C369" w14:textId="77777777" w:rsidR="00E02563" w:rsidRDefault="00E02563" w:rsidP="00CF1B77">
      <w:pPr>
        <w:pStyle w:val="statutory-body"/>
        <w:ind w:left="720" w:firstLine="0"/>
        <w:rPr>
          <w:rFonts w:asciiTheme="minorHAnsi" w:hAnsiTheme="minorHAnsi" w:cs="Arial"/>
          <w:sz w:val="22"/>
          <w:szCs w:val="22"/>
        </w:rPr>
      </w:pPr>
    </w:p>
    <w:p w14:paraId="5F59C36A" w14:textId="6F6D1A5D" w:rsidR="00234A9E" w:rsidRPr="006B64B1" w:rsidRDefault="00070476" w:rsidP="006B64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4B1">
        <w:rPr>
          <w:rFonts w:cstheme="minorHAnsi"/>
          <w:sz w:val="24"/>
          <w:szCs w:val="24"/>
        </w:rPr>
        <w:t xml:space="preserve">DoD shall manage civilian personnel </w:t>
      </w:r>
      <w:r w:rsidR="004E4348" w:rsidRPr="006B64B1">
        <w:rPr>
          <w:rFonts w:cstheme="minorHAnsi"/>
          <w:sz w:val="24"/>
          <w:szCs w:val="24"/>
        </w:rPr>
        <w:t xml:space="preserve">solely on the basis of and consistent with </w:t>
      </w:r>
      <w:r w:rsidR="00AC01BD" w:rsidRPr="006B64B1">
        <w:rPr>
          <w:rFonts w:cstheme="minorHAnsi"/>
          <w:sz w:val="24"/>
          <w:szCs w:val="24"/>
        </w:rPr>
        <w:t xml:space="preserve">total force management policy (10 U.S.C. §129a), </w:t>
      </w:r>
      <w:r w:rsidR="004E4348" w:rsidRPr="006B64B1">
        <w:rPr>
          <w:rFonts w:cstheme="minorHAnsi"/>
          <w:sz w:val="24"/>
          <w:szCs w:val="24"/>
        </w:rPr>
        <w:t>workload require</w:t>
      </w:r>
      <w:r w:rsidRPr="006B64B1">
        <w:rPr>
          <w:rFonts w:cstheme="minorHAnsi"/>
          <w:sz w:val="24"/>
          <w:szCs w:val="24"/>
        </w:rPr>
        <w:t xml:space="preserve">ments, </w:t>
      </w:r>
      <w:r w:rsidR="004E4348" w:rsidRPr="006B64B1">
        <w:rPr>
          <w:rFonts w:cstheme="minorHAnsi"/>
          <w:sz w:val="24"/>
          <w:szCs w:val="24"/>
        </w:rPr>
        <w:t xml:space="preserve">and </w:t>
      </w:r>
      <w:r w:rsidRPr="006B64B1">
        <w:rPr>
          <w:rFonts w:cstheme="minorHAnsi"/>
          <w:sz w:val="24"/>
          <w:szCs w:val="24"/>
        </w:rPr>
        <w:t xml:space="preserve">available funds. The management of civilian personnel </w:t>
      </w:r>
      <w:r w:rsidR="004E4348" w:rsidRPr="006B64B1">
        <w:rPr>
          <w:rFonts w:cstheme="minorHAnsi"/>
          <w:sz w:val="24"/>
          <w:szCs w:val="24"/>
        </w:rPr>
        <w:t xml:space="preserve">shall not be subject to any constraint or limitation in terms of man years, end strength, full-time equivalent positions, or maximum number of employees. </w:t>
      </w:r>
    </w:p>
    <w:p w14:paraId="5F59C36B" w14:textId="77777777" w:rsidR="00234A9E" w:rsidRPr="006B64B1" w:rsidRDefault="00234A9E" w:rsidP="006B64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F59C36C" w14:textId="45F2FE71" w:rsidR="004E4348" w:rsidRPr="006B64B1" w:rsidRDefault="00070476" w:rsidP="006B64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4B1">
        <w:rPr>
          <w:rFonts w:cstheme="minorHAnsi"/>
          <w:sz w:val="24"/>
          <w:szCs w:val="24"/>
        </w:rPr>
        <w:t xml:space="preserve">DoD </w:t>
      </w:r>
      <w:r w:rsidR="00C74DE1" w:rsidRPr="006B64B1">
        <w:rPr>
          <w:rFonts w:cstheme="minorHAnsi"/>
          <w:sz w:val="24"/>
          <w:szCs w:val="24"/>
        </w:rPr>
        <w:t xml:space="preserve">shall </w:t>
      </w:r>
      <w:r w:rsidRPr="006B64B1">
        <w:rPr>
          <w:rFonts w:cstheme="minorHAnsi"/>
          <w:sz w:val="24"/>
          <w:szCs w:val="24"/>
        </w:rPr>
        <w:t>employ the necessary number of civilian personnel</w:t>
      </w:r>
      <w:r w:rsidR="00B04729" w:rsidRPr="006B64B1">
        <w:rPr>
          <w:rFonts w:cstheme="minorHAnsi"/>
          <w:sz w:val="24"/>
          <w:szCs w:val="24"/>
        </w:rPr>
        <w:t>,</w:t>
      </w:r>
      <w:r w:rsidRPr="006B64B1">
        <w:rPr>
          <w:rFonts w:cstheme="minorHAnsi"/>
          <w:sz w:val="24"/>
          <w:szCs w:val="24"/>
        </w:rPr>
        <w:t xml:space="preserve"> with the necessary combination of skills and qualifications</w:t>
      </w:r>
      <w:r w:rsidR="00B04729" w:rsidRPr="006B64B1">
        <w:rPr>
          <w:rFonts w:cstheme="minorHAnsi"/>
          <w:sz w:val="24"/>
          <w:szCs w:val="24"/>
        </w:rPr>
        <w:t>,</w:t>
      </w:r>
      <w:r w:rsidRPr="006B64B1">
        <w:rPr>
          <w:rFonts w:cstheme="minorHAnsi"/>
          <w:sz w:val="24"/>
          <w:szCs w:val="24"/>
        </w:rPr>
        <w:t xml:space="preserve"> to carry out the functions in accordance with 10 U.S.C. §129a total force management policy.</w:t>
      </w:r>
    </w:p>
    <w:p w14:paraId="250A809A" w14:textId="77777777" w:rsidR="00B04729" w:rsidRPr="00234A9E" w:rsidRDefault="00B04729" w:rsidP="00234A9E">
      <w:pPr>
        <w:pStyle w:val="statutory-body"/>
        <w:ind w:left="1440" w:firstLine="0"/>
        <w:rPr>
          <w:rFonts w:asciiTheme="minorHAnsi" w:hAnsiTheme="minorHAnsi" w:cs="Arial"/>
          <w:sz w:val="22"/>
          <w:szCs w:val="22"/>
        </w:rPr>
      </w:pPr>
    </w:p>
    <w:p w14:paraId="5F59C36D" w14:textId="77777777" w:rsidR="00F51DAF" w:rsidRPr="006B1F76" w:rsidRDefault="005372FE" w:rsidP="00E32D76">
      <w:pPr>
        <w:pStyle w:val="Heading3"/>
        <w:spacing w:before="150"/>
        <w:ind w:left="-240" w:firstLine="960"/>
        <w:jc w:val="left"/>
        <w:rPr>
          <w:rFonts w:asciiTheme="minorHAnsi" w:hAnsiTheme="minorHAnsi" w:cs="Arial"/>
          <w:sz w:val="24"/>
          <w:szCs w:val="24"/>
        </w:rPr>
      </w:pPr>
      <w:r w:rsidRPr="00E32D76">
        <w:rPr>
          <w:rFonts w:asciiTheme="minorHAnsi" w:hAnsiTheme="minorHAnsi" w:cs="Arial"/>
          <w:sz w:val="24"/>
          <w:szCs w:val="24"/>
        </w:rPr>
        <w:t> </w:t>
      </w:r>
      <w:r w:rsidR="00F51DAF" w:rsidRPr="006B1F76">
        <w:rPr>
          <w:rFonts w:asciiTheme="minorHAnsi" w:hAnsiTheme="minorHAnsi" w:cs="Arial"/>
          <w:sz w:val="24"/>
          <w:szCs w:val="24"/>
        </w:rPr>
        <w:t xml:space="preserve">10 U.S.C. §129a. </w:t>
      </w:r>
      <w:r w:rsidR="00E32D76">
        <w:rPr>
          <w:rFonts w:asciiTheme="minorHAnsi" w:hAnsiTheme="minorHAnsi" w:cs="Arial"/>
          <w:sz w:val="24"/>
          <w:szCs w:val="24"/>
        </w:rPr>
        <w:t>Determining Workforce Mix (Military/Civilian/Contractor)</w:t>
      </w:r>
    </w:p>
    <w:p w14:paraId="5F59C36E" w14:textId="77777777" w:rsidR="00F51DAF" w:rsidRPr="00234A9E" w:rsidRDefault="00F51DAF" w:rsidP="00F51DAF">
      <w:pPr>
        <w:pStyle w:val="statutory-body"/>
        <w:rPr>
          <w:rFonts w:asciiTheme="minorHAnsi" w:hAnsiTheme="minorHAnsi" w:cs="Arial"/>
        </w:rPr>
      </w:pPr>
    </w:p>
    <w:p w14:paraId="5F59C36F" w14:textId="69F3AA80" w:rsidR="00F51DAF" w:rsidRPr="006B64B1" w:rsidRDefault="00E32D76" w:rsidP="006B64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4B1">
        <w:rPr>
          <w:rFonts w:cstheme="minorHAnsi"/>
          <w:sz w:val="24"/>
          <w:szCs w:val="24"/>
        </w:rPr>
        <w:t xml:space="preserve">DoD shall determine </w:t>
      </w:r>
      <w:r w:rsidR="00B04729" w:rsidRPr="006B64B1">
        <w:rPr>
          <w:rFonts w:cstheme="minorHAnsi"/>
          <w:sz w:val="24"/>
          <w:szCs w:val="24"/>
        </w:rPr>
        <w:t>t</w:t>
      </w:r>
      <w:r w:rsidR="00F51DAF" w:rsidRPr="006B64B1">
        <w:rPr>
          <w:rFonts w:cstheme="minorHAnsi"/>
          <w:sz w:val="24"/>
          <w:szCs w:val="24"/>
        </w:rPr>
        <w:t>he most appropriate and cost efficient mix of military, civilian, and contractor personnel.</w:t>
      </w:r>
      <w:r w:rsidRPr="006B64B1">
        <w:rPr>
          <w:rFonts w:cstheme="minorHAnsi"/>
          <w:sz w:val="24"/>
          <w:szCs w:val="24"/>
        </w:rPr>
        <w:t xml:space="preserve">  Carrying out DoD missions takes precedence over cost.  No civilian hiring freeze is authorized if it may inhibit this law. </w:t>
      </w:r>
    </w:p>
    <w:p w14:paraId="5F59C370" w14:textId="58576771" w:rsidR="00F51DAF" w:rsidRPr="006B64B1" w:rsidRDefault="00F51DAF" w:rsidP="006B64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28383D" w14:textId="77777777" w:rsidR="00B04729" w:rsidRPr="00234A9E" w:rsidRDefault="00B04729" w:rsidP="00F51DAF">
      <w:pPr>
        <w:rPr>
          <w:rFonts w:asciiTheme="minorHAnsi" w:eastAsia="Times New Roman" w:hAnsiTheme="minorHAnsi" w:cs="Arial"/>
          <w:sz w:val="24"/>
          <w:szCs w:val="24"/>
        </w:rPr>
      </w:pPr>
    </w:p>
    <w:p w14:paraId="5F59C371" w14:textId="77777777" w:rsidR="00B93872" w:rsidRPr="00BB1398" w:rsidRDefault="00B93872" w:rsidP="00AC01BD">
      <w:pPr>
        <w:ind w:left="720"/>
        <w:rPr>
          <w:rFonts w:cstheme="minorHAnsi"/>
          <w:b/>
          <w:sz w:val="24"/>
          <w:szCs w:val="24"/>
        </w:rPr>
      </w:pPr>
      <w:r w:rsidRPr="00BB1398">
        <w:rPr>
          <w:rFonts w:eastAsia="Times New Roman"/>
          <w:b/>
          <w:color w:val="000000"/>
          <w:sz w:val="24"/>
          <w:szCs w:val="24"/>
        </w:rPr>
        <w:lastRenderedPageBreak/>
        <w:t xml:space="preserve">DOD Instruction (DODI) </w:t>
      </w:r>
      <w:r w:rsidRPr="00BB1398">
        <w:rPr>
          <w:b/>
          <w:sz w:val="24"/>
          <w:szCs w:val="24"/>
        </w:rPr>
        <w:t>7041.04 (July 3, 2013), “</w:t>
      </w:r>
      <w:r w:rsidRPr="00BB1398">
        <w:rPr>
          <w:rFonts w:cstheme="minorHAnsi"/>
          <w:b/>
          <w:sz w:val="24"/>
          <w:szCs w:val="24"/>
        </w:rPr>
        <w:t xml:space="preserve">Estimating and Comparing the Full Costs of Civilian and Active Duty Military Manpower and Contract Support” </w:t>
      </w:r>
    </w:p>
    <w:p w14:paraId="2831AFC9" w14:textId="2E001B68" w:rsidR="006B64B1" w:rsidRPr="00BB1398" w:rsidRDefault="006B64B1" w:rsidP="00B168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B1398">
        <w:rPr>
          <w:rFonts w:cstheme="minorHAnsi"/>
          <w:sz w:val="24"/>
          <w:szCs w:val="24"/>
        </w:rPr>
        <w:t xml:space="preserve">This DoD guidance requires </w:t>
      </w:r>
      <w:r w:rsidR="00B93872" w:rsidRPr="00BB1398">
        <w:rPr>
          <w:rFonts w:cstheme="minorHAnsi"/>
          <w:sz w:val="24"/>
          <w:szCs w:val="24"/>
        </w:rPr>
        <w:t xml:space="preserve">DoD officials </w:t>
      </w:r>
      <w:r w:rsidRPr="00BB1398">
        <w:rPr>
          <w:rFonts w:cstheme="minorHAnsi"/>
          <w:sz w:val="24"/>
          <w:szCs w:val="24"/>
        </w:rPr>
        <w:t xml:space="preserve">to </w:t>
      </w:r>
      <w:r w:rsidR="00B93872" w:rsidRPr="00BB1398">
        <w:rPr>
          <w:rFonts w:cstheme="minorHAnsi"/>
          <w:sz w:val="24"/>
          <w:szCs w:val="24"/>
        </w:rPr>
        <w:t xml:space="preserve">be aware of the full </w:t>
      </w:r>
      <w:r w:rsidR="00AC01BD" w:rsidRPr="00BB1398">
        <w:rPr>
          <w:rFonts w:cstheme="minorHAnsi"/>
          <w:sz w:val="24"/>
          <w:szCs w:val="24"/>
        </w:rPr>
        <w:t>costs of manpower and establish</w:t>
      </w:r>
      <w:r w:rsidRPr="00BB1398">
        <w:rPr>
          <w:rFonts w:cstheme="minorHAnsi"/>
          <w:sz w:val="24"/>
          <w:szCs w:val="24"/>
        </w:rPr>
        <w:t>es</w:t>
      </w:r>
      <w:r w:rsidR="00AC01BD" w:rsidRPr="00BB1398">
        <w:rPr>
          <w:rFonts w:cstheme="minorHAnsi"/>
          <w:sz w:val="24"/>
          <w:szCs w:val="24"/>
        </w:rPr>
        <w:t xml:space="preserve"> rules </w:t>
      </w:r>
      <w:r w:rsidR="00B93872" w:rsidRPr="00BB1398">
        <w:rPr>
          <w:rFonts w:cstheme="minorHAnsi"/>
          <w:sz w:val="24"/>
          <w:szCs w:val="24"/>
        </w:rPr>
        <w:t xml:space="preserve">for estimating the full costs of military, civilian employee, and/or contract performance of a </w:t>
      </w:r>
      <w:r w:rsidRPr="00BB1398">
        <w:rPr>
          <w:rFonts w:cstheme="minorHAnsi"/>
          <w:sz w:val="24"/>
          <w:szCs w:val="24"/>
        </w:rPr>
        <w:t>particular</w:t>
      </w:r>
      <w:r w:rsidR="00B93872" w:rsidRPr="00BB1398">
        <w:rPr>
          <w:rFonts w:cstheme="minorHAnsi"/>
          <w:sz w:val="24"/>
          <w:szCs w:val="24"/>
        </w:rPr>
        <w:t xml:space="preserve"> function.</w:t>
      </w:r>
    </w:p>
    <w:p w14:paraId="4644B124" w14:textId="77777777" w:rsidR="006B64B1" w:rsidRPr="006B64B1" w:rsidRDefault="006B64B1" w:rsidP="006B64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F59C373" w14:textId="4F991B1D" w:rsidR="00917C3C" w:rsidRPr="00BB1398" w:rsidRDefault="00917C3C" w:rsidP="00AC01BD">
      <w:pPr>
        <w:ind w:left="576" w:firstLine="144"/>
        <w:rPr>
          <w:rFonts w:cstheme="minorHAnsi"/>
          <w:b/>
          <w:sz w:val="24"/>
          <w:szCs w:val="24"/>
        </w:rPr>
      </w:pPr>
      <w:r w:rsidRPr="00BB1398">
        <w:rPr>
          <w:rFonts w:cstheme="minorHAnsi"/>
          <w:b/>
          <w:sz w:val="24"/>
          <w:szCs w:val="24"/>
        </w:rPr>
        <w:t>February 21, 2013 Memo from</w:t>
      </w:r>
      <w:r w:rsidR="00B04729" w:rsidRPr="00BB1398">
        <w:rPr>
          <w:rFonts w:cstheme="minorHAnsi"/>
          <w:b/>
          <w:sz w:val="24"/>
          <w:szCs w:val="24"/>
        </w:rPr>
        <w:t xml:space="preserve"> the Under Secretary of Defense, Personnel &amp; Readiness</w:t>
      </w:r>
      <w:r w:rsidR="00AC01BD" w:rsidRPr="00BB1398">
        <w:rPr>
          <w:rFonts w:cstheme="minorHAnsi"/>
          <w:b/>
          <w:sz w:val="24"/>
          <w:szCs w:val="24"/>
        </w:rPr>
        <w:t xml:space="preserve"> </w:t>
      </w:r>
    </w:p>
    <w:p w14:paraId="5F59C375" w14:textId="7F29EF4D" w:rsidR="00917C3C" w:rsidRDefault="00917C3C" w:rsidP="006B64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01BD">
        <w:rPr>
          <w:rFonts w:cstheme="minorHAnsi"/>
          <w:sz w:val="24"/>
          <w:szCs w:val="24"/>
        </w:rPr>
        <w:t xml:space="preserve">Consistent with </w:t>
      </w:r>
      <w:bookmarkStart w:id="0" w:name="_GoBack"/>
      <w:bookmarkEnd w:id="0"/>
      <w:r w:rsidR="00AC01BD" w:rsidRPr="00AC01BD">
        <w:rPr>
          <w:rFonts w:cstheme="minorHAnsi"/>
          <w:sz w:val="24"/>
          <w:szCs w:val="24"/>
        </w:rPr>
        <w:t xml:space="preserve">the </w:t>
      </w:r>
      <w:r w:rsidRPr="00AC01BD">
        <w:rPr>
          <w:rFonts w:cstheme="minorHAnsi"/>
          <w:sz w:val="24"/>
          <w:szCs w:val="24"/>
        </w:rPr>
        <w:t xml:space="preserve">March 2, 2012 memo </w:t>
      </w:r>
      <w:r w:rsidR="00AC01BD">
        <w:rPr>
          <w:rFonts w:cstheme="minorHAnsi"/>
          <w:sz w:val="24"/>
          <w:szCs w:val="24"/>
        </w:rPr>
        <w:t xml:space="preserve">from the Under Secretary of Defense, Personnel &amp; Readiness, </w:t>
      </w:r>
      <w:r w:rsidRPr="00AC01BD">
        <w:rPr>
          <w:rFonts w:cstheme="minorHAnsi"/>
          <w:sz w:val="24"/>
          <w:szCs w:val="24"/>
        </w:rPr>
        <w:t>and DoD Instruction 1100.22</w:t>
      </w:r>
      <w:r w:rsidR="00B04729" w:rsidRPr="00AC01BD">
        <w:rPr>
          <w:rFonts w:cstheme="minorHAnsi"/>
          <w:sz w:val="24"/>
          <w:szCs w:val="24"/>
        </w:rPr>
        <w:t xml:space="preserve"> (</w:t>
      </w:r>
      <w:r w:rsidR="00AC01BD" w:rsidRPr="00AC01BD">
        <w:rPr>
          <w:rFonts w:cstheme="minorHAnsi"/>
          <w:sz w:val="24"/>
          <w:szCs w:val="24"/>
        </w:rPr>
        <w:t xml:space="preserve">both </w:t>
      </w:r>
      <w:r w:rsidR="00B04729" w:rsidRPr="00AC01BD">
        <w:rPr>
          <w:rFonts w:cstheme="minorHAnsi"/>
          <w:sz w:val="24"/>
          <w:szCs w:val="24"/>
        </w:rPr>
        <w:t>described below)</w:t>
      </w:r>
      <w:r w:rsidR="00AC01BD" w:rsidRPr="00AC01BD">
        <w:rPr>
          <w:rFonts w:cstheme="minorHAnsi"/>
          <w:sz w:val="24"/>
          <w:szCs w:val="24"/>
        </w:rPr>
        <w:t>:</w:t>
      </w:r>
      <w:r w:rsidR="00B04729" w:rsidRPr="00AC01BD">
        <w:rPr>
          <w:rFonts w:cstheme="minorHAnsi"/>
          <w:sz w:val="24"/>
          <w:szCs w:val="24"/>
        </w:rPr>
        <w:t xml:space="preserve"> </w:t>
      </w:r>
      <w:r w:rsidR="006B64B1">
        <w:rPr>
          <w:rFonts w:cstheme="minorHAnsi"/>
          <w:sz w:val="24"/>
          <w:szCs w:val="24"/>
        </w:rPr>
        <w:t>e</w:t>
      </w:r>
      <w:r w:rsidRPr="006B64B1">
        <w:rPr>
          <w:rFonts w:cstheme="minorHAnsi"/>
          <w:sz w:val="24"/>
          <w:szCs w:val="24"/>
        </w:rPr>
        <w:t xml:space="preserve">xcept in extraordinary, and typically temporary, circumstances, individual military personnel or units should not perform functions or work that is not military essential.  </w:t>
      </w:r>
    </w:p>
    <w:p w14:paraId="06CE4A12" w14:textId="77777777" w:rsidR="006B64B1" w:rsidRPr="006B64B1" w:rsidRDefault="006B64B1" w:rsidP="006B64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02CBE5AD" w14:textId="77777777" w:rsidR="006B64B1" w:rsidRDefault="00917C3C" w:rsidP="006B64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4B1">
        <w:rPr>
          <w:rFonts w:cstheme="minorHAnsi"/>
          <w:sz w:val="24"/>
          <w:szCs w:val="24"/>
        </w:rPr>
        <w:t>Military units may perform work previously performed by civilian employees or contracted support as part of a rotation base for an operational capability (if this has been reflected in Operational Orders), provided this is done on a limited and temporary basis</w:t>
      </w:r>
      <w:r w:rsidR="006B64B1">
        <w:rPr>
          <w:rFonts w:cstheme="minorHAnsi"/>
          <w:sz w:val="24"/>
          <w:szCs w:val="24"/>
        </w:rPr>
        <w:t>.</w:t>
      </w:r>
    </w:p>
    <w:p w14:paraId="5F59C376" w14:textId="04C132F0" w:rsidR="00E35FC1" w:rsidRPr="006B64B1" w:rsidRDefault="00E35FC1" w:rsidP="006B64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  <w:r w:rsidRPr="006B64B1">
        <w:rPr>
          <w:rFonts w:cstheme="minorHAnsi"/>
          <w:sz w:val="24"/>
          <w:szCs w:val="24"/>
        </w:rPr>
        <w:t xml:space="preserve"> </w:t>
      </w:r>
    </w:p>
    <w:p w14:paraId="5F59C377" w14:textId="77777777" w:rsidR="00E35FC1" w:rsidRPr="00BB1398" w:rsidRDefault="00E35FC1" w:rsidP="00AC01BD">
      <w:pPr>
        <w:ind w:left="576" w:firstLine="144"/>
        <w:rPr>
          <w:rFonts w:cstheme="minorHAnsi"/>
          <w:b/>
          <w:sz w:val="24"/>
          <w:szCs w:val="24"/>
        </w:rPr>
      </w:pPr>
      <w:r w:rsidRPr="00BB1398">
        <w:rPr>
          <w:rFonts w:cstheme="minorHAnsi"/>
          <w:b/>
          <w:sz w:val="24"/>
          <w:szCs w:val="24"/>
        </w:rPr>
        <w:t>March 2, 2012 Memo from Under Secretary of Defense, Personnel &amp; Readiness</w:t>
      </w:r>
    </w:p>
    <w:p w14:paraId="5F59C378" w14:textId="094827DF" w:rsidR="00E35FC1" w:rsidRPr="00945F9E" w:rsidRDefault="00E35FC1" w:rsidP="00E35F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01BD">
        <w:rPr>
          <w:rFonts w:cstheme="minorHAnsi"/>
          <w:sz w:val="24"/>
          <w:szCs w:val="24"/>
        </w:rPr>
        <w:t>Tasks that are n</w:t>
      </w:r>
      <w:r w:rsidR="00945F9E">
        <w:rPr>
          <w:rFonts w:cstheme="minorHAnsi"/>
          <w:sz w:val="24"/>
          <w:szCs w:val="24"/>
        </w:rPr>
        <w:t xml:space="preserve">ot military essential </w:t>
      </w:r>
      <w:r w:rsidRPr="00AC01BD">
        <w:rPr>
          <w:rFonts w:cstheme="minorHAnsi"/>
          <w:sz w:val="24"/>
          <w:szCs w:val="24"/>
        </w:rPr>
        <w:t xml:space="preserve">must be designated for civilian personnel (or contract) performance where appropriate, consistent with </w:t>
      </w:r>
      <w:r w:rsidR="00AC01BD" w:rsidRPr="00FB735B">
        <w:rPr>
          <w:rFonts w:cstheme="minorHAnsi"/>
          <w:sz w:val="24"/>
          <w:szCs w:val="24"/>
        </w:rPr>
        <w:t>DO</w:t>
      </w:r>
      <w:r w:rsidRPr="00FB735B">
        <w:rPr>
          <w:rFonts w:cstheme="minorHAnsi"/>
          <w:sz w:val="24"/>
          <w:szCs w:val="24"/>
        </w:rPr>
        <w:t>DI 1100.22</w:t>
      </w:r>
      <w:r w:rsidR="00873B04" w:rsidRPr="00873B04">
        <w:rPr>
          <w:rFonts w:cstheme="minorHAnsi"/>
          <w:sz w:val="24"/>
          <w:szCs w:val="24"/>
        </w:rPr>
        <w:t xml:space="preserve"> </w:t>
      </w:r>
      <w:r w:rsidRPr="00AC01BD">
        <w:rPr>
          <w:rFonts w:cstheme="minorHAnsi"/>
          <w:sz w:val="24"/>
          <w:szCs w:val="24"/>
          <w:u w:val="single"/>
        </w:rPr>
        <w:t>(</w:t>
      </w:r>
      <w:r w:rsidRPr="00AC01BD">
        <w:rPr>
          <w:rFonts w:cstheme="minorHAnsi"/>
          <w:sz w:val="24"/>
          <w:szCs w:val="24"/>
        </w:rPr>
        <w:t>see excerpt below</w:t>
      </w:r>
      <w:r w:rsidRPr="00AC01BD">
        <w:rPr>
          <w:rFonts w:cstheme="minorHAnsi"/>
          <w:sz w:val="24"/>
          <w:szCs w:val="24"/>
          <w:u w:val="single"/>
        </w:rPr>
        <w:t>)</w:t>
      </w:r>
    </w:p>
    <w:p w14:paraId="302E41EC" w14:textId="77777777" w:rsidR="00945F9E" w:rsidRPr="00AC01BD" w:rsidRDefault="00945F9E" w:rsidP="00945F9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F59C379" w14:textId="77777777" w:rsidR="00E35FC1" w:rsidRPr="00AC01BD" w:rsidRDefault="00E35FC1" w:rsidP="00E35F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01BD">
        <w:rPr>
          <w:rFonts w:cstheme="minorHAnsi"/>
          <w:sz w:val="24"/>
          <w:szCs w:val="24"/>
        </w:rPr>
        <w:t xml:space="preserve">Exceptions must be based upon a demonstrated and documented military need (e.g., to provide a reasonable overseas rotation or career progression base).  </w:t>
      </w:r>
    </w:p>
    <w:p w14:paraId="36F9116C" w14:textId="77777777" w:rsidR="00945F9E" w:rsidRDefault="00945F9E" w:rsidP="00945F9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F59C37A" w14:textId="6722A3F6" w:rsidR="00E35FC1" w:rsidRPr="00AC01BD" w:rsidRDefault="00E35FC1" w:rsidP="00E35F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01BD">
        <w:rPr>
          <w:rFonts w:cstheme="minorHAnsi"/>
          <w:sz w:val="24"/>
          <w:szCs w:val="24"/>
        </w:rPr>
        <w:t xml:space="preserve">Decisions to utilize military manpower to perform non-military essential functions must consider the fully burdened cost </w:t>
      </w:r>
      <w:r w:rsidR="00873B04">
        <w:rPr>
          <w:rFonts w:cstheme="minorHAnsi"/>
          <w:sz w:val="24"/>
          <w:szCs w:val="24"/>
        </w:rPr>
        <w:t>in accordance with DODI 7041.04</w:t>
      </w:r>
      <w:r w:rsidRPr="00AC01BD">
        <w:rPr>
          <w:rFonts w:cstheme="minorHAnsi"/>
          <w:sz w:val="24"/>
          <w:szCs w:val="24"/>
        </w:rPr>
        <w:t xml:space="preserve"> (see summary above).</w:t>
      </w:r>
    </w:p>
    <w:p w14:paraId="5F59C37B" w14:textId="3792B823" w:rsidR="00917C3C" w:rsidRDefault="00917C3C" w:rsidP="00917C3C">
      <w:pPr>
        <w:pStyle w:val="Default"/>
        <w:ind w:left="1368"/>
      </w:pPr>
    </w:p>
    <w:p w14:paraId="12AEF820" w14:textId="021D161D" w:rsidR="00BB1398" w:rsidRDefault="00BB1398" w:rsidP="00917C3C">
      <w:pPr>
        <w:pStyle w:val="Default"/>
        <w:ind w:left="1368"/>
      </w:pPr>
    </w:p>
    <w:p w14:paraId="6B167443" w14:textId="77777777" w:rsidR="00945F9E" w:rsidRDefault="00945F9E">
      <w:pPr>
        <w:spacing w:after="16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F59C37C" w14:textId="6AD0E60D" w:rsidR="00917C3C" w:rsidRPr="006B1F76" w:rsidRDefault="00917C3C" w:rsidP="00AC01BD">
      <w:pPr>
        <w:ind w:left="720"/>
        <w:rPr>
          <w:rFonts w:cstheme="minorHAnsi"/>
          <w:b/>
          <w:i/>
          <w:iCs/>
          <w:sz w:val="24"/>
          <w:szCs w:val="24"/>
        </w:rPr>
      </w:pPr>
      <w:r w:rsidRPr="00BB1398">
        <w:rPr>
          <w:rFonts w:cstheme="minorHAnsi"/>
          <w:b/>
          <w:sz w:val="24"/>
          <w:szCs w:val="24"/>
        </w:rPr>
        <w:lastRenderedPageBreak/>
        <w:t xml:space="preserve">DoD Instruction 1100.22, </w:t>
      </w:r>
      <w:r w:rsidRPr="00BB1398">
        <w:rPr>
          <w:rFonts w:cstheme="minorHAnsi"/>
          <w:b/>
          <w:iCs/>
          <w:sz w:val="24"/>
          <w:szCs w:val="24"/>
        </w:rPr>
        <w:t>"Policy and Procedures/or Determining Workforce Mix.”</w:t>
      </w:r>
      <w:r w:rsidRPr="006B1F76">
        <w:rPr>
          <w:rFonts w:cstheme="minorHAnsi"/>
          <w:b/>
          <w:iCs/>
          <w:sz w:val="24"/>
          <w:szCs w:val="24"/>
        </w:rPr>
        <w:t xml:space="preserve"> (April 2010) </w:t>
      </w:r>
    </w:p>
    <w:p w14:paraId="5F59C37D" w14:textId="151DDB39" w:rsidR="00917C3C" w:rsidRDefault="00917C3C" w:rsidP="006B64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01BD">
        <w:rPr>
          <w:rFonts w:cstheme="minorHAnsi"/>
          <w:sz w:val="24"/>
          <w:szCs w:val="24"/>
        </w:rPr>
        <w:t>Manpower shall be designated as civilian, not military, except when one or more of the following conditions apply:</w:t>
      </w:r>
    </w:p>
    <w:p w14:paraId="356FD700" w14:textId="77777777" w:rsidR="00BB1398" w:rsidRPr="00AC01BD" w:rsidRDefault="00BB1398" w:rsidP="00BB139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F59C37E" w14:textId="77777777" w:rsidR="00917C3C" w:rsidRPr="00AC01BD" w:rsidRDefault="00917C3C" w:rsidP="006B64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01BD">
        <w:rPr>
          <w:rFonts w:cstheme="minorHAnsi"/>
          <w:sz w:val="24"/>
          <w:szCs w:val="24"/>
        </w:rPr>
        <w:t>Military-unique knowledge and skills are required for performance of the duties;</w:t>
      </w:r>
    </w:p>
    <w:p w14:paraId="5F59C37F" w14:textId="77777777" w:rsidR="00917C3C" w:rsidRPr="00AC01BD" w:rsidRDefault="00917C3C" w:rsidP="006B64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01BD">
        <w:rPr>
          <w:rFonts w:cstheme="minorHAnsi"/>
          <w:sz w:val="24"/>
          <w:szCs w:val="24"/>
        </w:rPr>
        <w:t>Military incumbency is required by law, Executive order, treaty, or international agreement;</w:t>
      </w:r>
    </w:p>
    <w:p w14:paraId="5F59C380" w14:textId="77777777" w:rsidR="00917C3C" w:rsidRPr="00AC01BD" w:rsidRDefault="00917C3C" w:rsidP="006B64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01BD">
        <w:rPr>
          <w:rFonts w:cstheme="minorHAnsi"/>
          <w:sz w:val="24"/>
          <w:szCs w:val="24"/>
        </w:rPr>
        <w:t>Military performance is required for command and control, risk mitigation, or esprit de corps;</w:t>
      </w:r>
    </w:p>
    <w:p w14:paraId="5F59C381" w14:textId="45AD1829" w:rsidR="00917C3C" w:rsidRDefault="00917C3C" w:rsidP="006B64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01BD">
        <w:rPr>
          <w:rFonts w:cstheme="minorHAnsi"/>
          <w:sz w:val="24"/>
          <w:szCs w:val="24"/>
        </w:rPr>
        <w:t>Military manpower is needed to provide for overseas and sea-to-shore rotation, career development, or wartime assignments; or</w:t>
      </w:r>
    </w:p>
    <w:p w14:paraId="5F59C382" w14:textId="1C990D94" w:rsidR="00917C3C" w:rsidRPr="006B64B1" w:rsidRDefault="00917C3C" w:rsidP="006B64B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4B1">
        <w:rPr>
          <w:rFonts w:cstheme="minorHAnsi"/>
          <w:sz w:val="24"/>
          <w:szCs w:val="24"/>
        </w:rPr>
        <w:t xml:space="preserve">Unusual working conditions or costs are not conducive to civilian employment. </w:t>
      </w:r>
    </w:p>
    <w:p w14:paraId="5F59C383" w14:textId="77777777" w:rsidR="00917C3C" w:rsidRPr="00AC01BD" w:rsidRDefault="00917C3C" w:rsidP="006B64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5F59C384" w14:textId="768E8504" w:rsidR="00917C3C" w:rsidRPr="00AC01BD" w:rsidRDefault="00917C3C" w:rsidP="006B64B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C01BD">
        <w:rPr>
          <w:rFonts w:cstheme="minorHAnsi"/>
          <w:sz w:val="24"/>
          <w:szCs w:val="24"/>
        </w:rPr>
        <w:t xml:space="preserve">DoD </w:t>
      </w:r>
      <w:r w:rsidR="00945F9E">
        <w:rPr>
          <w:rFonts w:cstheme="minorHAnsi"/>
          <w:sz w:val="24"/>
          <w:szCs w:val="24"/>
        </w:rPr>
        <w:t xml:space="preserve">may use military personnel for functions that are not “military essential” provided that there is </w:t>
      </w:r>
      <w:r w:rsidRPr="00AC01BD">
        <w:rPr>
          <w:rFonts w:cstheme="minorHAnsi"/>
          <w:sz w:val="24"/>
          <w:szCs w:val="24"/>
        </w:rPr>
        <w:t xml:space="preserve">sufficient justification and appropriate documentation to support the decision.  </w:t>
      </w:r>
    </w:p>
    <w:p w14:paraId="58B55514" w14:textId="0AA1A2E5" w:rsidR="006B64B1" w:rsidRDefault="006B64B1">
      <w:pPr>
        <w:spacing w:after="160" w:line="259" w:lineRule="auto"/>
        <w:rPr>
          <w:b/>
          <w:sz w:val="24"/>
          <w:szCs w:val="24"/>
        </w:rPr>
      </w:pPr>
    </w:p>
    <w:sectPr w:rsidR="006B64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9C3A2" w14:textId="77777777" w:rsidR="00963E78" w:rsidRDefault="00963E78">
      <w:pPr>
        <w:spacing w:after="0" w:line="240" w:lineRule="auto"/>
      </w:pPr>
      <w:r>
        <w:separator/>
      </w:r>
    </w:p>
  </w:endnote>
  <w:endnote w:type="continuationSeparator" w:id="0">
    <w:p w14:paraId="5F59C3A3" w14:textId="77777777" w:rsidR="00963E78" w:rsidRDefault="0096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1781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59C3A4" w14:textId="54E00D52" w:rsidR="00B27BA6" w:rsidRDefault="00B27B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5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59C3A5" w14:textId="77777777" w:rsidR="00B27BA6" w:rsidRDefault="00B27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C3A0" w14:textId="77777777" w:rsidR="00963E78" w:rsidRDefault="00963E78">
      <w:pPr>
        <w:spacing w:after="0" w:line="240" w:lineRule="auto"/>
      </w:pPr>
      <w:r>
        <w:separator/>
      </w:r>
    </w:p>
  </w:footnote>
  <w:footnote w:type="continuationSeparator" w:id="0">
    <w:p w14:paraId="5F59C3A1" w14:textId="77777777" w:rsidR="00963E78" w:rsidRDefault="00963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940"/>
    <w:multiLevelType w:val="hybridMultilevel"/>
    <w:tmpl w:val="4E6AB40C"/>
    <w:lvl w:ilvl="0" w:tplc="301643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43469"/>
    <w:multiLevelType w:val="hybridMultilevel"/>
    <w:tmpl w:val="40043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321"/>
    <w:multiLevelType w:val="hybridMultilevel"/>
    <w:tmpl w:val="C58AF24E"/>
    <w:lvl w:ilvl="0" w:tplc="FF089056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3B77B6"/>
    <w:multiLevelType w:val="hybridMultilevel"/>
    <w:tmpl w:val="C1C4F7E2"/>
    <w:lvl w:ilvl="0" w:tplc="9E12BCDC">
      <w:start w:val="2"/>
      <w:numFmt w:val="bullet"/>
      <w:lvlText w:val="-"/>
      <w:lvlJc w:val="left"/>
      <w:pPr>
        <w:ind w:left="1368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4" w15:restartNumberingAfterBreak="0">
    <w:nsid w:val="4D574064"/>
    <w:multiLevelType w:val="hybridMultilevel"/>
    <w:tmpl w:val="25EAD6C8"/>
    <w:lvl w:ilvl="0" w:tplc="7E142F1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9C6AE0"/>
    <w:multiLevelType w:val="hybridMultilevel"/>
    <w:tmpl w:val="5C72DFBE"/>
    <w:lvl w:ilvl="0" w:tplc="45B49F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901139"/>
    <w:multiLevelType w:val="hybridMultilevel"/>
    <w:tmpl w:val="33269B34"/>
    <w:lvl w:ilvl="0" w:tplc="802223B4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F97B2F"/>
    <w:multiLevelType w:val="hybridMultilevel"/>
    <w:tmpl w:val="382690F0"/>
    <w:lvl w:ilvl="0" w:tplc="0409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DF"/>
    <w:rsid w:val="000128C6"/>
    <w:rsid w:val="000232C2"/>
    <w:rsid w:val="000238E5"/>
    <w:rsid w:val="00032567"/>
    <w:rsid w:val="00070476"/>
    <w:rsid w:val="000D04FA"/>
    <w:rsid w:val="000E0F1A"/>
    <w:rsid w:val="0016020D"/>
    <w:rsid w:val="00171D1D"/>
    <w:rsid w:val="00175EC6"/>
    <w:rsid w:val="00234A9E"/>
    <w:rsid w:val="002356B5"/>
    <w:rsid w:val="002D2319"/>
    <w:rsid w:val="002F56C9"/>
    <w:rsid w:val="003825DB"/>
    <w:rsid w:val="00460409"/>
    <w:rsid w:val="00467B8E"/>
    <w:rsid w:val="004E4348"/>
    <w:rsid w:val="004F5273"/>
    <w:rsid w:val="005033E5"/>
    <w:rsid w:val="005372FE"/>
    <w:rsid w:val="00595B56"/>
    <w:rsid w:val="005A08F4"/>
    <w:rsid w:val="005F1A8F"/>
    <w:rsid w:val="00664F3F"/>
    <w:rsid w:val="006B1F76"/>
    <w:rsid w:val="006B64B1"/>
    <w:rsid w:val="006B751A"/>
    <w:rsid w:val="006E5531"/>
    <w:rsid w:val="00706930"/>
    <w:rsid w:val="0073386F"/>
    <w:rsid w:val="00741D3D"/>
    <w:rsid w:val="00777CF0"/>
    <w:rsid w:val="00790B62"/>
    <w:rsid w:val="00831524"/>
    <w:rsid w:val="00860A2A"/>
    <w:rsid w:val="00873B04"/>
    <w:rsid w:val="008B6A01"/>
    <w:rsid w:val="00917C3C"/>
    <w:rsid w:val="00941F1E"/>
    <w:rsid w:val="009458FE"/>
    <w:rsid w:val="00945F9E"/>
    <w:rsid w:val="009607B5"/>
    <w:rsid w:val="00963E78"/>
    <w:rsid w:val="00994924"/>
    <w:rsid w:val="009D2B25"/>
    <w:rsid w:val="009D3193"/>
    <w:rsid w:val="00AA20EC"/>
    <w:rsid w:val="00AC01BD"/>
    <w:rsid w:val="00B03FB8"/>
    <w:rsid w:val="00B04729"/>
    <w:rsid w:val="00B249D9"/>
    <w:rsid w:val="00B27BA6"/>
    <w:rsid w:val="00B665D7"/>
    <w:rsid w:val="00B93872"/>
    <w:rsid w:val="00BB1398"/>
    <w:rsid w:val="00BC631E"/>
    <w:rsid w:val="00BE10D5"/>
    <w:rsid w:val="00BF5C26"/>
    <w:rsid w:val="00C378FD"/>
    <w:rsid w:val="00C74DE1"/>
    <w:rsid w:val="00C81D40"/>
    <w:rsid w:val="00C84BF9"/>
    <w:rsid w:val="00CA17E7"/>
    <w:rsid w:val="00CC20E4"/>
    <w:rsid w:val="00CF1B77"/>
    <w:rsid w:val="00D17155"/>
    <w:rsid w:val="00D522DD"/>
    <w:rsid w:val="00D92A4F"/>
    <w:rsid w:val="00E02563"/>
    <w:rsid w:val="00E32D76"/>
    <w:rsid w:val="00E35FC1"/>
    <w:rsid w:val="00E478A7"/>
    <w:rsid w:val="00E83A45"/>
    <w:rsid w:val="00EE5518"/>
    <w:rsid w:val="00F11C42"/>
    <w:rsid w:val="00F1495E"/>
    <w:rsid w:val="00F167DF"/>
    <w:rsid w:val="00F51DAF"/>
    <w:rsid w:val="00FB735B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9C360"/>
  <w15:chartTrackingRefBased/>
  <w15:docId w15:val="{A6CDCF1C-8A9A-45A0-8440-473D20D3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7DF"/>
    <w:pPr>
      <w:spacing w:after="200" w:line="276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4E4348"/>
    <w:pPr>
      <w:spacing w:before="750" w:after="45" w:line="240" w:lineRule="auto"/>
      <w:ind w:hanging="48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B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7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67DF"/>
    <w:pPr>
      <w:ind w:left="720"/>
      <w:contextualSpacing/>
    </w:pPr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F16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D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E434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tutory-body">
    <w:name w:val="statutory-body"/>
    <w:basedOn w:val="Normal"/>
    <w:rsid w:val="004E4348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dref1">
    <w:name w:val="stdref1"/>
    <w:basedOn w:val="DefaultParagraphFont"/>
    <w:rsid w:val="004E4348"/>
    <w:rPr>
      <w:color w:val="0F0D6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B7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atutory-body-1em">
    <w:name w:val="statutory-body-1em"/>
    <w:basedOn w:val="Normal"/>
    <w:rsid w:val="00CF1B77"/>
    <w:pPr>
      <w:spacing w:after="0" w:line="240" w:lineRule="auto"/>
      <w:ind w:left="240"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tory-body-2em">
    <w:name w:val="statutory-body-2em"/>
    <w:basedOn w:val="Normal"/>
    <w:rsid w:val="00CF1B77"/>
    <w:pPr>
      <w:spacing w:after="0" w:line="240" w:lineRule="auto"/>
      <w:ind w:left="480"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-body-2em">
    <w:name w:val="note-body-2em"/>
    <w:basedOn w:val="Normal"/>
    <w:rsid w:val="00CF1B77"/>
    <w:pPr>
      <w:spacing w:after="0" w:line="240" w:lineRule="auto"/>
      <w:ind w:left="480" w:firstLine="720"/>
    </w:pPr>
    <w:rPr>
      <w:rFonts w:ascii="Times New Roman" w:eastAsia="Times New Roman" w:hAnsi="Times New Roman" w:cs="Times New Roman"/>
    </w:rPr>
  </w:style>
  <w:style w:type="paragraph" w:customStyle="1" w:styleId="source-credit">
    <w:name w:val="source-credit"/>
    <w:basedOn w:val="Normal"/>
    <w:rsid w:val="00CF1B77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-body2">
    <w:name w:val="note-body2"/>
    <w:basedOn w:val="Normal"/>
    <w:rsid w:val="00CF1B77"/>
    <w:pPr>
      <w:spacing w:after="168" w:line="240" w:lineRule="auto"/>
      <w:ind w:firstLine="240"/>
    </w:pPr>
    <w:rPr>
      <w:rFonts w:ascii="Times New Roman" w:eastAsia="Times New Roman" w:hAnsi="Times New Roman" w:cs="Times New Roman"/>
    </w:rPr>
  </w:style>
  <w:style w:type="paragraph" w:customStyle="1" w:styleId="note-body-1em2">
    <w:name w:val="note-body-1em2"/>
    <w:basedOn w:val="Normal"/>
    <w:rsid w:val="00CF1B77"/>
    <w:pPr>
      <w:spacing w:after="168" w:line="240" w:lineRule="auto"/>
      <w:ind w:left="240" w:firstLine="480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CF1B77"/>
    <w:rPr>
      <w:i/>
      <w:iCs/>
    </w:rPr>
  </w:style>
  <w:style w:type="character" w:customStyle="1" w:styleId="debugcode1">
    <w:name w:val="debugcode1"/>
    <w:basedOn w:val="DefaultParagraphFont"/>
    <w:rsid w:val="00CF1B77"/>
    <w:rPr>
      <w:vanish/>
      <w:webHidden w:val="0"/>
      <w:specVanish w:val="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1B7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1B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1B7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1B77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595B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2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28C6"/>
    <w:rPr>
      <w:rFonts w:ascii="Courier New" w:eastAsia="Times New Roman" w:hAnsi="Courier New" w:cs="Courier New"/>
      <w:sz w:val="24"/>
      <w:szCs w:val="24"/>
    </w:rPr>
  </w:style>
  <w:style w:type="paragraph" w:customStyle="1" w:styleId="xmsonormal">
    <w:name w:val="x_msonormal"/>
    <w:basedOn w:val="Normal"/>
    <w:rsid w:val="0053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53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372F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82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984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3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54289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1069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1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8254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33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846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9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92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52231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808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481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613534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02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421211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84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405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42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0521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90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58360">
      <w:bodyDiv w:val="1"/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56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AFGE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Price</dc:creator>
  <cp:keywords/>
  <dc:description/>
  <cp:lastModifiedBy>Diana Price</cp:lastModifiedBy>
  <cp:revision>6</cp:revision>
  <cp:lastPrinted>2013-07-16T14:47:00Z</cp:lastPrinted>
  <dcterms:created xsi:type="dcterms:W3CDTF">2014-11-14T22:18:00Z</dcterms:created>
  <dcterms:modified xsi:type="dcterms:W3CDTF">2016-03-21T21:52:00Z</dcterms:modified>
</cp:coreProperties>
</file>